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oc Niemcy - różni się od polskiego?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ubezpieczenie oc Niemcy, różni się od ubezpieczenia od odpowiedzialności cywilnej w polsce? Na to pytanie odpowiadamy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samochodu w Polsce vs w Niemczech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 że skoro mowa o dwóch różnych krajach czyli o Polsce i o Niemczech ubezpieczenia samochodu czy też inne ubezpieczenia majątkowe będą się znacząco różnić. Niemniej jednak w przypadku ubezpieczenia od odpowiedzialności cywilnej zarówno w Polsce jakie w Niemczech jest to ubezpieczenie obowiązkowe. którego składka zależy od kilku, takich samych czynników.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OC Niemcy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 jak i oc polskie obliczane jest na podstawie takich danych jak wiek kierowcy, wiek pojazdu, rodzaj pojazdu oraz informacje o przebiegu ubezpieczenia. Czyli o kolizjach i wypadkach jakie miały, bądź nie miały miejsca w nawiązaniu do danego pojazdu. Mówiąc prościej liczą się zniżki za okres bezwypadkowy właściciela pojazdu, widniejącego w dowodzie rejestracyjnym.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oc Niemcy - jak je sfinalizować?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sfinalizować</w:t>
      </w:r>
      <w:r>
        <w:rPr>
          <w:rFonts w:ascii="calibri" w:hAnsi="calibri" w:eastAsia="calibri" w:cs="calibri"/>
          <w:sz w:val="24"/>
          <w:szCs w:val="24"/>
          <w:b/>
        </w:rPr>
        <w:t xml:space="preserve"> ubezpieczenie OC Niemcy</w:t>
      </w:r>
      <w:r>
        <w:rPr>
          <w:rFonts w:ascii="calibri" w:hAnsi="calibri" w:eastAsia="calibri" w:cs="calibri"/>
          <w:sz w:val="24"/>
          <w:szCs w:val="24"/>
        </w:rPr>
        <w:t xml:space="preserve"> należy najpierw przerejestrować samochód z numerów rejestracyjnych polskich na numery rejestracyjne niemieckie. Jeżeli chcemy, aby zniżki za okres bezwypadkowy polskie zostały zaakceptowane w Niemczech musimy przedłożyć następujące dokumenty: Po pierwsze zaświadczenie z polisy ubezpieczeniowej od polskiego ubezpieczyciela.Należy również nasze zaświadczenie przetłumaczyć na język niemiecki, może zrobić to tłumacz przysięgły w Polsce. Po drugie, niezbędna będzie także kopia prawa jazdy.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komunikacyjne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2026-05-25T22:45:17+02:00</dcterms:created>
  <dcterms:modified xsi:type="dcterms:W3CDTF">2026-05-25T22:45:17+02:00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